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49998" w14:textId="231B7A75" w:rsidR="000E0C30" w:rsidRPr="00E05759" w:rsidRDefault="0018297E" w:rsidP="00E05759">
      <w:pPr>
        <w:pStyle w:val="IntenseQuote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E05759">
        <w:rPr>
          <w:rFonts w:ascii="Times New Roman" w:hAnsi="Times New Roman" w:cs="Times New Roman"/>
          <w:color w:val="auto"/>
        </w:rPr>
        <w:t>Moving Towards Organizational Best Practice</w:t>
      </w:r>
    </w:p>
    <w:p w14:paraId="7035ABB9" w14:textId="77777777" w:rsidR="00E05759" w:rsidRPr="00E05759" w:rsidRDefault="00E05759" w:rsidP="00E05759">
      <w:pPr>
        <w:contextualSpacing/>
        <w:rPr>
          <w:rFonts w:ascii="Times New Roman" w:hAnsi="Times New Roman" w:cs="Times New Roman"/>
          <w:lang w:eastAsia="ko-KR"/>
        </w:rPr>
      </w:pPr>
    </w:p>
    <w:p w14:paraId="18852B7F" w14:textId="5609D483" w:rsidR="000E0C30" w:rsidRPr="00E05759" w:rsidRDefault="0018297E" w:rsidP="00E05759">
      <w:pPr>
        <w:pStyle w:val="Heading1"/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auto"/>
          <w:sz w:val="36"/>
          <w:szCs w:val="20"/>
        </w:rPr>
      </w:pPr>
      <w:r w:rsidRPr="00E05759">
        <w:rPr>
          <w:rFonts w:ascii="Times New Roman" w:hAnsi="Times New Roman" w:cs="Times New Roman"/>
          <w:color w:val="auto"/>
          <w:sz w:val="36"/>
          <w:szCs w:val="20"/>
        </w:rPr>
        <w:t>Trauma and Burnout in the Workplace</w:t>
      </w:r>
    </w:p>
    <w:p w14:paraId="522A8C9E" w14:textId="77777777" w:rsidR="00E05759" w:rsidRPr="00E05759" w:rsidRDefault="00E05759" w:rsidP="00E05759">
      <w:pPr>
        <w:contextualSpacing/>
        <w:rPr>
          <w:rFonts w:ascii="Times New Roman" w:hAnsi="Times New Roman" w:cs="Times New Roman"/>
        </w:rPr>
      </w:pPr>
    </w:p>
    <w:p w14:paraId="3A10F5F8" w14:textId="54D12208" w:rsidR="0018297E" w:rsidRPr="00E05759" w:rsidRDefault="000A7A0F" w:rsidP="000A7A0F">
      <w:pPr>
        <w:ind w:firstLine="720"/>
        <w:contextualSpacing/>
        <w:jc w:val="both"/>
        <w:rPr>
          <w:rFonts w:ascii="Times New Roman" w:hAnsi="Times New Roman" w:cs="Times New Roman"/>
        </w:rPr>
      </w:pPr>
      <w:bookmarkStart w:id="0" w:name="_Hlk88520142"/>
      <w:r>
        <w:rPr>
          <w:rFonts w:ascii="Times New Roman" w:hAnsi="Times New Roman" w:cs="Times New Roman"/>
        </w:rPr>
        <w:t xml:space="preserve">Alongside the trauma narratives shared by street intervention workers, they </w:t>
      </w:r>
      <w:r w:rsidR="0018297E" w:rsidRPr="00E05759">
        <w:rPr>
          <w:rFonts w:ascii="Times New Roman" w:hAnsi="Times New Roman" w:cs="Times New Roman"/>
        </w:rPr>
        <w:t>frequently used language consistent with burnout</w:t>
      </w:r>
      <w:r w:rsidR="00F34F75">
        <w:rPr>
          <w:rStyle w:val="FootnoteReference"/>
          <w:rFonts w:ascii="Times New Roman" w:hAnsi="Times New Roman" w:cs="Times New Roman"/>
        </w:rPr>
        <w:footnoteReference w:id="1"/>
      </w:r>
      <w:r w:rsidR="0018297E" w:rsidRPr="00E057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8297E" w:rsidRPr="00E05759">
        <w:rPr>
          <w:rFonts w:ascii="Times New Roman" w:hAnsi="Times New Roman" w:cs="Times New Roman"/>
        </w:rPr>
        <w:t>Emotional exhaustion, cynicism about funding and role requirements, and frustrations with personal effectiveness underlay participant recommendations for changes in the workplace.</w:t>
      </w:r>
      <w:r>
        <w:rPr>
          <w:rFonts w:ascii="Times New Roman" w:hAnsi="Times New Roman" w:cs="Times New Roman"/>
        </w:rPr>
        <w:t xml:space="preserve"> </w:t>
      </w:r>
      <w:r w:rsidR="0018297E" w:rsidRPr="00E05759">
        <w:rPr>
          <w:rFonts w:ascii="Times New Roman" w:hAnsi="Times New Roman" w:cs="Times New Roman"/>
        </w:rPr>
        <w:t>The complex interweave of trauma and burnout is beyond the scope of this study, but the literature on burnout provides a useful roadmap towards a trauma-informed workplace. Burnout was first conceptualized around six domains of work life: workload, control, rewards, community, fairness, and values</w:t>
      </w:r>
      <w:r w:rsidR="00F34F75">
        <w:rPr>
          <w:rStyle w:val="FootnoteReference"/>
          <w:rFonts w:ascii="Times New Roman" w:hAnsi="Times New Roman" w:cs="Times New Roman"/>
        </w:rPr>
        <w:footnoteReference w:id="2"/>
      </w:r>
      <w:r w:rsidR="0018297E" w:rsidRPr="00E05759">
        <w:rPr>
          <w:rFonts w:ascii="Times New Roman" w:hAnsi="Times New Roman" w:cs="Times New Roman"/>
        </w:rPr>
        <w:t>. Later research added additional domains such as resources, meaning, and work-life integration</w:t>
      </w:r>
      <w:r w:rsidR="00F34F75">
        <w:rPr>
          <w:rStyle w:val="FootnoteReference"/>
          <w:rFonts w:ascii="Times New Roman" w:hAnsi="Times New Roman" w:cs="Times New Roman"/>
        </w:rPr>
        <w:footnoteReference w:id="3"/>
      </w:r>
      <w:r w:rsidR="0018297E" w:rsidRPr="00E05759">
        <w:rPr>
          <w:rFonts w:ascii="Times New Roman" w:hAnsi="Times New Roman" w:cs="Times New Roman"/>
        </w:rPr>
        <w:t xml:space="preserve">. </w:t>
      </w:r>
    </w:p>
    <w:p w14:paraId="12CA4216" w14:textId="165804D5" w:rsidR="0018297E" w:rsidRPr="00E05759" w:rsidRDefault="0018297E" w:rsidP="00E05759">
      <w:pPr>
        <w:contextualSpacing/>
        <w:jc w:val="both"/>
        <w:rPr>
          <w:rFonts w:ascii="Times New Roman" w:hAnsi="Times New Roman" w:cs="Times New Roman"/>
        </w:rPr>
      </w:pPr>
    </w:p>
    <w:p w14:paraId="2EBA4E9F" w14:textId="7F593C3F" w:rsidR="0018297E" w:rsidRPr="00E05759" w:rsidRDefault="000A7A0F" w:rsidP="00E05759">
      <w:pPr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research team analyzed the narratives of street intervention workers and found that their description of burnout aligned with seven drivers of burnout outlined in existing </w:t>
      </w:r>
      <w:proofErr w:type="gramStart"/>
      <w:r>
        <w:rPr>
          <w:rFonts w:ascii="Times New Roman" w:hAnsi="Times New Roman" w:cs="Times New Roman"/>
        </w:rPr>
        <w:t>literature.</w:t>
      </w:r>
      <w:r w:rsidR="0018297E" w:rsidRPr="00E05759">
        <w:rPr>
          <w:rFonts w:ascii="Times New Roman" w:hAnsi="Times New Roman" w:cs="Times New Roman"/>
        </w:rPr>
        <w:t>.</w:t>
      </w:r>
      <w:proofErr w:type="gramEnd"/>
      <w:r w:rsidR="0018297E" w:rsidRPr="00E05759">
        <w:rPr>
          <w:rFonts w:ascii="Times New Roman" w:hAnsi="Times New Roman" w:cs="Times New Roman"/>
        </w:rPr>
        <w:t xml:space="preserve"> These domains of burnout are applicable across organization size and budget and organizations can mitigate the effect of drivers regardless of its resources. </w:t>
      </w:r>
      <w:bookmarkStart w:id="1" w:name="_GoBack"/>
      <w:bookmarkEnd w:id="1"/>
    </w:p>
    <w:p w14:paraId="49BE15ED" w14:textId="145C0039" w:rsidR="0018297E" w:rsidRDefault="0018297E" w:rsidP="0018297E">
      <w:pPr>
        <w:contextualSpacing/>
        <w:rPr>
          <w:rFonts w:ascii="Times New Roman" w:hAnsi="Times New Roman" w:cs="Times New Roman"/>
        </w:rPr>
      </w:pPr>
    </w:p>
    <w:p w14:paraId="288135DE" w14:textId="19EB27A0" w:rsidR="0018297E" w:rsidRDefault="0018297E" w:rsidP="000A7A0F">
      <w:pPr>
        <w:contextualSpacing/>
        <w:jc w:val="center"/>
        <w:rPr>
          <w:rFonts w:ascii="Times New Roman" w:hAnsi="Times New Roman" w:cs="Times New Roman"/>
        </w:rPr>
      </w:pPr>
      <w:r w:rsidRPr="007128AE">
        <w:rPr>
          <w:rFonts w:ascii="Times New Roman" w:hAnsi="Times New Roman" w:cs="Times New Roman"/>
          <w:noProof/>
        </w:rPr>
        <w:drawing>
          <wp:inline distT="0" distB="0" distL="0" distR="0" wp14:anchorId="2EB07C89" wp14:editId="25DFE89A">
            <wp:extent cx="5687743" cy="3418114"/>
            <wp:effectExtent l="0" t="0" r="825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902" cy="34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BEA22" w14:textId="77777777" w:rsidR="0018297E" w:rsidRDefault="0018297E" w:rsidP="0018297E">
      <w:pPr>
        <w:contextualSpacing/>
        <w:rPr>
          <w:rFonts w:ascii="Times New Roman" w:hAnsi="Times New Roman" w:cs="Times New Roman"/>
        </w:rPr>
      </w:pPr>
    </w:p>
    <w:p w14:paraId="559C5E30" w14:textId="593F5D3E" w:rsidR="000E0C30" w:rsidRPr="0018297E" w:rsidRDefault="0018297E" w:rsidP="000E0C30">
      <w:pPr>
        <w:contextualSpacing/>
        <w:rPr>
          <w:rFonts w:ascii="Times New Roman" w:hAnsi="Times New Roman" w:cs="Times New Roman"/>
        </w:rPr>
      </w:pPr>
      <w:r w:rsidRPr="007128A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6421D55" wp14:editId="52F34232">
            <wp:extent cx="5715000" cy="3921125"/>
            <wp:effectExtent l="0" t="0" r="0" b="3175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808" cy="39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1D2B4C8" w14:textId="77777777" w:rsidR="00D1010D" w:rsidRPr="000E0C30" w:rsidRDefault="00D1010D" w:rsidP="000E0C30">
      <w:pPr>
        <w:contextualSpacing/>
      </w:pPr>
    </w:p>
    <w:sectPr w:rsidR="00D1010D" w:rsidRPr="000E0C30" w:rsidSect="00EE6E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8090" w14:textId="77777777" w:rsidR="00D30C3F" w:rsidRDefault="00D30C3F" w:rsidP="0018297E">
      <w:r>
        <w:separator/>
      </w:r>
    </w:p>
  </w:endnote>
  <w:endnote w:type="continuationSeparator" w:id="0">
    <w:p w14:paraId="39CA3268" w14:textId="77777777" w:rsidR="00D30C3F" w:rsidRDefault="00D30C3F" w:rsidP="0018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7B0E" w14:textId="404C064C" w:rsidR="00F34F75" w:rsidRPr="00F34F75" w:rsidRDefault="00F34F75" w:rsidP="00F34F75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</w:rPr>
    </w:pPr>
    <w:r w:rsidRPr="00F34F75">
      <w:rPr>
        <w:rFonts w:ascii="Times New Roman" w:eastAsia="Times New Roman" w:hAnsi="Times New Roman" w:cs="Times New Roman"/>
        <w:bCs/>
        <w:color w:val="000000"/>
      </w:rPr>
      <w:t>This material was downloaded from </w:t>
    </w:r>
    <w:hyperlink r:id="rId1" w:tgtFrame="_blank" w:history="1">
      <w:r w:rsidRPr="00F34F75">
        <w:rPr>
          <w:rFonts w:ascii="Times New Roman" w:eastAsia="Times New Roman" w:hAnsi="Times New Roman" w:cs="Times New Roman"/>
          <w:bCs/>
          <w:color w:val="1155CC"/>
          <w:u w:val="single"/>
        </w:rPr>
        <w:t>www.streetsupport.org</w:t>
      </w:r>
    </w:hyperlink>
  </w:p>
  <w:p w14:paraId="0F3F7182" w14:textId="413499BC" w:rsidR="00053A3D" w:rsidRPr="00F34F75" w:rsidRDefault="00F34F75" w:rsidP="00F34F75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</w:rPr>
    </w:pPr>
    <w:r w:rsidRPr="00F34F75">
      <w:rPr>
        <w:rFonts w:ascii="Times New Roman" w:eastAsia="Times New Roman" w:hAnsi="Times New Roman" w:cs="Times New Roman"/>
        <w:bCs/>
        <w:color w:val="000000"/>
      </w:rPr>
      <w:t>Please visit the website for more information on street intervention and trauma exposure.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40C3" w14:textId="77777777" w:rsidR="00D30C3F" w:rsidRDefault="00D30C3F" w:rsidP="0018297E">
      <w:r>
        <w:separator/>
      </w:r>
    </w:p>
  </w:footnote>
  <w:footnote w:type="continuationSeparator" w:id="0">
    <w:p w14:paraId="57170530" w14:textId="77777777" w:rsidR="00D30C3F" w:rsidRDefault="00D30C3F" w:rsidP="0018297E">
      <w:r>
        <w:continuationSeparator/>
      </w:r>
    </w:p>
  </w:footnote>
  <w:footnote w:id="1">
    <w:p w14:paraId="32B5EA87" w14:textId="405E5D7C" w:rsidR="00F34F75" w:rsidRPr="00F34F75" w:rsidRDefault="00F34F75" w:rsidP="00F34F75">
      <w:pPr>
        <w:rPr>
          <w:rFonts w:ascii="Times New Roman" w:eastAsia="Times New Roman" w:hAnsi="Times New Roman" w:cs="Times New Roman"/>
          <w:sz w:val="18"/>
          <w:szCs w:val="18"/>
        </w:rPr>
      </w:pPr>
      <w:r w:rsidRPr="00F34F7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34F75">
        <w:rPr>
          <w:rFonts w:ascii="Times New Roman" w:hAnsi="Times New Roman" w:cs="Times New Roman"/>
          <w:sz w:val="18"/>
          <w:szCs w:val="18"/>
        </w:rPr>
        <w:t xml:space="preserve"> </w:t>
      </w:r>
      <w:r w:rsidRPr="00F34F75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</w:rPr>
        <w:t>Maslach, C., &amp; Leiter, M. P. (2017). Understanding burnout: New models. In C. L. Cooper &amp; J. C. Quick (Eds.), </w:t>
      </w:r>
      <w:r w:rsidRPr="00F34F75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The handbook of stress and health: A guide to research and practice</w:t>
      </w:r>
      <w:r w:rsidRPr="00F34F75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</w:rPr>
        <w:t> (pp. 36–56). Wiley Blackwell.</w:t>
      </w:r>
    </w:p>
  </w:footnote>
  <w:footnote w:id="2">
    <w:p w14:paraId="4EC40A7D" w14:textId="0F8DD3FF" w:rsidR="00F34F75" w:rsidRPr="00F34F75" w:rsidRDefault="00F34F75" w:rsidP="00F34F75">
      <w:pPr>
        <w:rPr>
          <w:rFonts w:ascii="Times New Roman" w:eastAsia="Times New Roman" w:hAnsi="Times New Roman" w:cs="Times New Roman"/>
          <w:sz w:val="18"/>
          <w:szCs w:val="18"/>
        </w:rPr>
      </w:pPr>
      <w:r w:rsidRPr="00F34F7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34F75">
        <w:rPr>
          <w:rFonts w:ascii="Times New Roman" w:hAnsi="Times New Roman" w:cs="Times New Roman"/>
          <w:sz w:val="18"/>
          <w:szCs w:val="18"/>
        </w:rPr>
        <w:t xml:space="preserve"> </w:t>
      </w:r>
      <w:r w:rsidRPr="00F34F75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Maslach, C., Jackson, S. E., &amp; Leiter, M. P. (1997). Maslach Burnout Inventory: Third edition. In C. P. </w:t>
      </w:r>
      <w:proofErr w:type="spellStart"/>
      <w:r w:rsidRPr="00F34F75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</w:rPr>
        <w:t>Zalaquett</w:t>
      </w:r>
      <w:proofErr w:type="spellEnd"/>
      <w:r w:rsidRPr="00F34F75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&amp; R. J. Wood (Eds.), </w:t>
      </w:r>
      <w:r w:rsidRPr="00F34F75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Evaluating stress: A book of resources</w:t>
      </w:r>
      <w:r w:rsidRPr="00F34F75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</w:rPr>
        <w:t> (pp. 191–218). Scarecrow Education.</w:t>
      </w:r>
    </w:p>
  </w:footnote>
  <w:footnote w:id="3">
    <w:p w14:paraId="7945DC8D" w14:textId="50F0339D" w:rsidR="00F34F75" w:rsidRPr="00F34F75" w:rsidRDefault="00F34F75" w:rsidP="00F34F75">
      <w:pPr>
        <w:rPr>
          <w:rFonts w:ascii="Times New Roman" w:eastAsia="Times New Roman" w:hAnsi="Times New Roman" w:cs="Times New Roman"/>
          <w:sz w:val="18"/>
          <w:szCs w:val="18"/>
        </w:rPr>
      </w:pPr>
      <w:r w:rsidRPr="00F34F7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34F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34F75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</w:rPr>
        <w:t>Shanafelt</w:t>
      </w:r>
      <w:proofErr w:type="spellEnd"/>
      <w:r w:rsidRPr="00F34F75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</w:rPr>
        <w:t>, T. D., &amp; Noseworthy, J. H. (2017, January). Executive leadership and physician well-being: nine organizational strategies to promote engagement and reduce burnout. In </w:t>
      </w:r>
      <w:r w:rsidRPr="00F34F75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shd w:val="clear" w:color="auto" w:fill="FFFFFF"/>
        </w:rPr>
        <w:t>Mayo Clinic Proceedings</w:t>
      </w:r>
      <w:r w:rsidRPr="00F34F75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</w:rPr>
        <w:t> (Vol. 92, No. 1, pp. 129-146). Elsevier.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4BC5" w14:textId="0C7646CC" w:rsidR="00053A3D" w:rsidRPr="00053A3D" w:rsidRDefault="00053A3D">
    <w:pPr>
      <w:pStyle w:val="Header"/>
      <w:rPr>
        <w:rFonts w:ascii="Times New Roman" w:hAnsi="Times New Roman" w:cs="Times New Roman"/>
      </w:rPr>
    </w:pPr>
    <w:r w:rsidRPr="00053A3D">
      <w:rPr>
        <w:rFonts w:ascii="Times New Roman" w:hAnsi="Times New Roman" w:cs="Times New Roman"/>
      </w:rPr>
      <w:ptab w:relativeTo="margin" w:alignment="center" w:leader="none"/>
    </w:r>
    <w:r w:rsidRPr="00053A3D">
      <w:rPr>
        <w:rStyle w:val="normaltextrun"/>
        <w:rFonts w:ascii="Times New Roman" w:hAnsi="Times New Roman" w:cs="Times New Roman"/>
        <w:b/>
        <w:bCs/>
        <w:color w:val="000000"/>
        <w:bdr w:val="none" w:sz="0" w:space="0" w:color="auto" w:frame="1"/>
      </w:rPr>
      <w:t>Between a Bullet and Its Target</w:t>
    </w:r>
    <w:r w:rsidRPr="00053A3D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A7D"/>
    <w:multiLevelType w:val="hybridMultilevel"/>
    <w:tmpl w:val="AA7AB102"/>
    <w:lvl w:ilvl="0" w:tplc="40F0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83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4B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2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4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65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AB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C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96A"/>
    <w:multiLevelType w:val="hybridMultilevel"/>
    <w:tmpl w:val="B9DA80F8"/>
    <w:lvl w:ilvl="0" w:tplc="11624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A8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22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A6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EA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E3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7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E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0B1A"/>
    <w:multiLevelType w:val="hybridMultilevel"/>
    <w:tmpl w:val="586A45EA"/>
    <w:lvl w:ilvl="0" w:tplc="9B1C0092">
      <w:start w:val="1"/>
      <w:numFmt w:val="bullet"/>
      <w:lvlText w:val="4"/>
      <w:lvlJc w:val="left"/>
      <w:pPr>
        <w:ind w:left="1440" w:hanging="360"/>
      </w:pPr>
      <w:rPr>
        <w:rFonts w:ascii="Webdings" w:hAnsi="Webdings" w:hint="default"/>
      </w:rPr>
    </w:lvl>
    <w:lvl w:ilvl="1" w:tplc="9B1C0092">
      <w:start w:val="1"/>
      <w:numFmt w:val="bullet"/>
      <w:lvlText w:val="4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D8A"/>
    <w:multiLevelType w:val="hybridMultilevel"/>
    <w:tmpl w:val="A2E222D4"/>
    <w:lvl w:ilvl="0" w:tplc="91668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AFE1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CD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09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03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2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EB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8F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26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3513"/>
    <w:multiLevelType w:val="hybridMultilevel"/>
    <w:tmpl w:val="B0B49F40"/>
    <w:lvl w:ilvl="0" w:tplc="D4F420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4C5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4D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6C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E0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08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AA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0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8D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D4ACD"/>
    <w:multiLevelType w:val="hybridMultilevel"/>
    <w:tmpl w:val="A19C65C4"/>
    <w:lvl w:ilvl="0" w:tplc="71B0D3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8405B"/>
    <w:multiLevelType w:val="hybridMultilevel"/>
    <w:tmpl w:val="6D5E0674"/>
    <w:lvl w:ilvl="0" w:tplc="0B587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F822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D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E5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1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EB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1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0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A1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53C6"/>
    <w:multiLevelType w:val="hybridMultilevel"/>
    <w:tmpl w:val="132838FC"/>
    <w:lvl w:ilvl="0" w:tplc="7B808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C8CE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20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AE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6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6D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66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EA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69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0E23"/>
    <w:multiLevelType w:val="hybridMultilevel"/>
    <w:tmpl w:val="F30E1A04"/>
    <w:lvl w:ilvl="0" w:tplc="5F165B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06A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A1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C2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6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A4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9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CB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8E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053A3D"/>
    <w:rsid w:val="000A16BD"/>
    <w:rsid w:val="000A7A0F"/>
    <w:rsid w:val="000E0C30"/>
    <w:rsid w:val="0018297E"/>
    <w:rsid w:val="00415FBE"/>
    <w:rsid w:val="005229F4"/>
    <w:rsid w:val="00640953"/>
    <w:rsid w:val="006D0AFF"/>
    <w:rsid w:val="0074695D"/>
    <w:rsid w:val="009B73F8"/>
    <w:rsid w:val="00A9047E"/>
    <w:rsid w:val="00D1010D"/>
    <w:rsid w:val="00D30C3F"/>
    <w:rsid w:val="00E05759"/>
    <w:rsid w:val="00EE6E42"/>
    <w:rsid w:val="00F34F75"/>
    <w:rsid w:val="04A49DCA"/>
    <w:rsid w:val="4A7654D6"/>
    <w:rsid w:val="4F7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C30"/>
    <w:pPr>
      <w:keepNext/>
      <w:keepLines/>
      <w:pBdr>
        <w:bottom w:val="single" w:sz="18" w:space="1" w:color="2F5496" w:themeColor="accent5" w:themeShade="BF"/>
      </w:pBdr>
      <w:spacing w:before="600" w:after="480" w:line="259" w:lineRule="auto"/>
      <w:ind w:left="720" w:right="720"/>
      <w:outlineLvl w:val="0"/>
    </w:pPr>
    <w:rPr>
      <w:rFonts w:ascii="Arial" w:eastAsiaTheme="majorEastAsia" w:hAnsi="Arial" w:cstheme="majorBidi"/>
      <w:color w:val="404040" w:themeColor="text1" w:themeTint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C30"/>
    <w:pPr>
      <w:keepNext/>
      <w:keepLines/>
      <w:spacing w:before="40" w:line="259" w:lineRule="auto"/>
      <w:ind w:left="720" w:right="720"/>
      <w:outlineLvl w:val="1"/>
    </w:pPr>
    <w:rPr>
      <w:rFonts w:ascii="Arial" w:eastAsiaTheme="majorEastAsia" w:hAnsi="Arial" w:cstheme="majorBidi"/>
      <w:b/>
      <w:color w:val="2F5496" w:themeColor="accent5" w:themeShade="BF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6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C30"/>
    <w:rPr>
      <w:rFonts w:ascii="Arial" w:eastAsiaTheme="majorEastAsia" w:hAnsi="Arial" w:cstheme="majorBidi"/>
      <w:color w:val="404040" w:themeColor="text1" w:themeTint="BF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C30"/>
    <w:rPr>
      <w:rFonts w:ascii="Arial" w:eastAsiaTheme="majorEastAsia" w:hAnsi="Arial" w:cstheme="majorBidi"/>
      <w:b/>
      <w:color w:val="2F5496" w:themeColor="accent5" w:themeShade="BF"/>
      <w:sz w:val="22"/>
      <w:szCs w:val="26"/>
    </w:rPr>
  </w:style>
  <w:style w:type="paragraph" w:customStyle="1" w:styleId="Subheading">
    <w:name w:val="Subheading"/>
    <w:basedOn w:val="Heading2"/>
    <w:qFormat/>
    <w:rsid w:val="000E0C30"/>
    <w:rPr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5B9BD5" w:themeColor="accent1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C30"/>
    <w:rPr>
      <w:rFonts w:eastAsiaTheme="minorEastAsia"/>
      <w:i/>
      <w:iCs/>
      <w:color w:val="5B9BD5" w:themeColor="accent1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182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7E"/>
  </w:style>
  <w:style w:type="paragraph" w:styleId="Footer">
    <w:name w:val="footer"/>
    <w:basedOn w:val="Normal"/>
    <w:link w:val="FooterChar"/>
    <w:uiPriority w:val="99"/>
    <w:unhideWhenUsed/>
    <w:rsid w:val="00182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7E"/>
  </w:style>
  <w:style w:type="character" w:customStyle="1" w:styleId="normaltextrun">
    <w:name w:val="normaltextrun"/>
    <w:basedOn w:val="DefaultParagraphFont"/>
    <w:rsid w:val="00053A3D"/>
  </w:style>
  <w:style w:type="character" w:customStyle="1" w:styleId="eop">
    <w:name w:val="eop"/>
    <w:basedOn w:val="DefaultParagraphFont"/>
    <w:rsid w:val="00053A3D"/>
  </w:style>
  <w:style w:type="paragraph" w:styleId="FootnoteText">
    <w:name w:val="footnote text"/>
    <w:basedOn w:val="Normal"/>
    <w:link w:val="FootnoteTextChar"/>
    <w:uiPriority w:val="99"/>
    <w:semiHidden/>
    <w:unhideWhenUsed/>
    <w:rsid w:val="00F34F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F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F7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34F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4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eetsuppo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AD444-8FFD-4439-A805-0E2413BA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Bocanegra, Kathryn</cp:lastModifiedBy>
  <cp:revision>15</cp:revision>
  <dcterms:created xsi:type="dcterms:W3CDTF">2018-02-09T21:34:00Z</dcterms:created>
  <dcterms:modified xsi:type="dcterms:W3CDTF">2022-01-12T04:43:00Z</dcterms:modified>
</cp:coreProperties>
</file>